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before="468" w:beforeLines="150" w:line="240" w:lineRule="auto"/>
        <w:jc w:val="distribute"/>
        <w:rPr>
          <w:rFonts w:ascii="方正小标宋简体" w:hAnsi="方正小标宋简体" w:eastAsia="方正小标宋简体" w:cs="方正小标宋简体"/>
          <w:color w:val="FF0000"/>
          <w:spacing w:val="-30"/>
          <w:w w:val="55"/>
          <w:sz w:val="110"/>
          <w:szCs w:val="124"/>
        </w:rPr>
      </w:pPr>
      <w:r>
        <w:rPr>
          <w:rFonts w:hint="eastAsia" w:ascii="方正小标宋简体" w:hAnsi="方正小标宋简体" w:eastAsia="方正小标宋简体" w:cs="方正小标宋简体"/>
          <w:color w:val="FF0000"/>
          <w:spacing w:val="-30"/>
          <w:w w:val="55"/>
          <w:sz w:val="110"/>
          <w:szCs w:val="124"/>
        </w:rPr>
        <w:t>枣庄市安全生产委员会办公室文件</w:t>
      </w:r>
    </w:p>
    <w:p>
      <w:pPr>
        <w:pStyle w:val="2"/>
        <w:keepNext w:val="0"/>
        <w:keepLines w:val="0"/>
        <w:pageBreakBefore w:val="0"/>
        <w:widowControl w:val="0"/>
        <w:tabs>
          <w:tab w:val="left" w:pos="6427"/>
        </w:tabs>
        <w:kinsoku/>
        <w:wordWrap/>
        <w:overflowPunct/>
        <w:topLinePunct w:val="0"/>
        <w:autoSpaceDE/>
        <w:autoSpaceDN/>
        <w:bidi w:val="0"/>
        <w:adjustRightInd/>
        <w:snapToGrid/>
        <w:spacing w:before="313" w:beforeLines="100"/>
        <w:ind w:left="0" w:firstLine="0"/>
        <w:jc w:val="center"/>
        <w:textAlignment w:val="auto"/>
        <w:rPr>
          <w:rFonts w:hint="eastAsia"/>
          <w:lang w:eastAsia="zh-CN"/>
        </w:rPr>
      </w:pPr>
    </w:p>
    <w:p>
      <w:pPr>
        <w:pStyle w:val="2"/>
        <w:keepNext w:val="0"/>
        <w:keepLines w:val="0"/>
        <w:pageBreakBefore w:val="0"/>
        <w:widowControl w:val="0"/>
        <w:tabs>
          <w:tab w:val="left" w:pos="6427"/>
        </w:tabs>
        <w:kinsoku/>
        <w:wordWrap/>
        <w:overflowPunct/>
        <w:topLinePunct w:val="0"/>
        <w:autoSpaceDE/>
        <w:autoSpaceDN/>
        <w:bidi w:val="0"/>
        <w:adjustRightInd/>
        <w:snapToGrid/>
        <w:spacing w:before="313" w:beforeLines="100"/>
        <w:ind w:left="0" w:firstLine="0"/>
        <w:jc w:val="center"/>
        <w:textAlignment w:val="auto"/>
        <w:rPr>
          <w:lang w:eastAsia="zh-CN"/>
        </w:rPr>
      </w:pPr>
      <w:r>
        <w:rPr>
          <w:lang w:eastAsia="zh-CN"/>
        </w:rPr>
        <mc:AlternateContent>
          <mc:Choice Requires="wpg">
            <w:drawing>
              <wp:anchor distT="0" distB="0" distL="114300" distR="114300" simplePos="0" relativeHeight="251659264" behindDoc="0" locked="0" layoutInCell="1" allowOverlap="1">
                <wp:simplePos x="0" y="0"/>
                <wp:positionH relativeFrom="column">
                  <wp:posOffset>-243840</wp:posOffset>
                </wp:positionH>
                <wp:positionV relativeFrom="paragraph">
                  <wp:posOffset>630555</wp:posOffset>
                </wp:positionV>
                <wp:extent cx="6118860" cy="48260"/>
                <wp:effectExtent l="0" t="0" r="15240" b="0"/>
                <wp:wrapNone/>
                <wp:docPr id="21" name="组合 21"/>
                <wp:cNvGraphicFramePr/>
                <a:graphic xmlns:a="http://schemas.openxmlformats.org/drawingml/2006/main">
                  <a:graphicData uri="http://schemas.microsoft.com/office/word/2010/wordprocessingGroup">
                    <wpg:wgp>
                      <wpg:cNvGrpSpPr/>
                      <wpg:grpSpPr>
                        <a:xfrm>
                          <a:off x="0" y="0"/>
                          <a:ext cx="6118860" cy="48260"/>
                          <a:chOff x="-368" y="-1"/>
                          <a:chExt cx="9210" cy="6"/>
                        </a:xfrm>
                      </wpg:grpSpPr>
                      <wpg:grpSp>
                        <wpg:cNvPr id="22" name="Group 9"/>
                        <wpg:cNvGrpSpPr/>
                        <wpg:grpSpPr>
                          <a:xfrm>
                            <a:off x="-368" y="-1"/>
                            <a:ext cx="9210" cy="6"/>
                            <a:chOff x="-368" y="-1"/>
                            <a:chExt cx="9210" cy="6"/>
                          </a:xfrm>
                        </wpg:grpSpPr>
                        <wps:wsp>
                          <wps:cNvPr id="23" name="Freeform 10"/>
                          <wps:cNvSpPr/>
                          <wps:spPr bwMode="auto">
                            <a:xfrm>
                              <a:off x="-368" y="-1"/>
                              <a:ext cx="9210" cy="6"/>
                            </a:xfrm>
                            <a:custGeom>
                              <a:avLst/>
                              <a:gdLst>
                                <a:gd name="T0" fmla="+- 0 18 18"/>
                                <a:gd name="T1" fmla="*/ T0 w 8824"/>
                                <a:gd name="T2" fmla="+- 0 8842 18"/>
                                <a:gd name="T3" fmla="*/ T2 w 8824"/>
                              </a:gdLst>
                              <a:ahLst/>
                              <a:cxnLst>
                                <a:cxn ang="0">
                                  <a:pos x="T1" y="0"/>
                                </a:cxn>
                                <a:cxn ang="0">
                                  <a:pos x="T3" y="0"/>
                                </a:cxn>
                              </a:cxnLst>
                              <a:rect l="0" t="0" r="r" b="b"/>
                              <a:pathLst>
                                <a:path w="8824">
                                  <a:moveTo>
                                    <a:pt x="0" y="0"/>
                                  </a:moveTo>
                                  <a:lnTo>
                                    <a:pt x="8824" y="0"/>
                                  </a:lnTo>
                                </a:path>
                              </a:pathLst>
                            </a:custGeom>
                            <a:noFill/>
                            <a:ln w="22225">
                              <a:solidFill>
                                <a:srgbClr val="FF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19.2pt;margin-top:49.65pt;height:3.8pt;width:481.8pt;z-index:251659264;mso-width-relative:page;mso-height-relative:page;" coordorigin="-368,-1" coordsize="9210,6" o:gfxdata="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2rGDi2gAAAAoBAAAPAAAAAAAAAAEAIAAA&#10;ACIAAABkcnMvZG93bnJldi54bWxQSwECFAAUAAAACACHTuJAW/n2uScDAAASCAAADgAAAAAAAAAB&#10;ACAAAAApAQAAZHJzL2Uyb0RvYy54bWxQSwUGAAAAAAYABgBZAQAAwgYAAAAA&#10;">
                <o:lock v:ext="edit" aspectratio="f"/>
                <v:group id="Group 9" o:spid="_x0000_s1026" o:spt="203" style="position:absolute;left:-368;top:-1;height:6;width:9210;" coordorigin="-368,-1" coordsize="9210,6"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Freeform 10" o:spid="_x0000_s1026" o:spt="100" style="position:absolute;left:-368;top:-1;height:6;width:9210;" filled="f" stroked="t" coordsize="8824,1" o:gfxdata="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vBu&#10;AMEAAADbAAAADwAAAAAAAAABACAAAAAiAAAAZHJzL2Rvd25yZXYueG1sUEsBAhQAFAAAAAgAh07i&#10;QDMvBZ47AAAAOQAAABAAAAAAAAAAAQAgAAAAEAEAAGRycy9zaGFwZXhtbC54bWxQSwUGAAAAAAYA&#10;BgBbAQAAugMAAAAA&#10;" path="m0,0l8824,0e">
                    <v:path o:connectlocs="0,0;9210,0" o:connectangles="0,0"/>
                    <v:fill on="f" focussize="0,0"/>
                    <v:stroke weight="1.75pt" color="#FF0000" joinstyle="round"/>
                    <v:imagedata o:title=""/>
                    <o:lock v:ext="edit" aspectratio="f"/>
                  </v:shape>
                </v:group>
              </v:group>
            </w:pict>
          </mc:Fallback>
        </mc:AlternateContent>
      </w:r>
      <w:r>
        <w:rPr>
          <w:rFonts w:hint="eastAsia"/>
          <w:lang w:eastAsia="zh-CN"/>
        </w:rPr>
        <w:t>枣安办发</w:t>
      </w:r>
      <w:r>
        <w:rPr>
          <w:rFonts w:hint="eastAsia" w:hAnsi="宋体" w:cs="宋体"/>
          <w:lang w:eastAsia="zh-CN"/>
        </w:rPr>
        <w:t>〔2021</w:t>
      </w:r>
      <w:r>
        <w:rPr>
          <w:rFonts w:hint="eastAsia" w:hAnsi="仿宋" w:cs="仿宋"/>
          <w:lang w:eastAsia="zh-CN"/>
        </w:rPr>
        <w:t>〕</w:t>
      </w:r>
      <w:r>
        <w:rPr>
          <w:rFonts w:hint="eastAsia" w:hAnsi="仿宋" w:cs="仿宋"/>
          <w:lang w:val="en-US" w:eastAsia="zh-CN"/>
        </w:rPr>
        <w:t>36</w:t>
      </w:r>
      <w:r>
        <w:rPr>
          <w:rFonts w:hint="eastAsia"/>
          <w:lang w:eastAsia="zh-CN"/>
        </w:rPr>
        <w:t>号</w:t>
      </w:r>
    </w:p>
    <w:p>
      <w:pPr>
        <w:spacing w:line="35" w:lineRule="exact"/>
        <w:ind w:left="14" w:leftChars="-129" w:hanging="285" w:hangingChars="950"/>
        <w:rPr>
          <w:rFonts w:ascii="仿宋_GB2312" w:hAnsi="仿宋_GB2312" w:eastAsia="仿宋_GB2312" w:cs="仿宋_GB2312"/>
          <w:sz w:val="3"/>
          <w:szCs w:val="3"/>
        </w:rPr>
      </w:pPr>
    </w:p>
    <w:p>
      <w:pPr>
        <w:widowControl w:val="0"/>
        <w:overflowPunct w:val="0"/>
        <w:adjustRightInd w:val="0"/>
        <w:snapToGrid w:val="0"/>
        <w:ind w:firstLine="640" w:firstLineChars="200"/>
        <w:rPr>
          <w:rFonts w:ascii="仿宋_GB2312" w:eastAsia="仿宋_GB2312"/>
          <w:sz w:val="32"/>
          <w:szCs w:val="32"/>
        </w:rPr>
      </w:pPr>
    </w:p>
    <w:p>
      <w:pPr>
        <w:widowControl w:val="0"/>
        <w:overflowPunct w:val="0"/>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枣庄市安全生产委员会办公室</w:t>
      </w:r>
    </w:p>
    <w:p>
      <w:pPr>
        <w:widowControl w:val="0"/>
        <w:overflowPunct w:val="0"/>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关于切实做好今冬明春防范一氧化碳中毒</w:t>
      </w:r>
    </w:p>
    <w:p>
      <w:pPr>
        <w:widowControl w:val="0"/>
        <w:overflowPunct w:val="0"/>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工作的通知</w:t>
      </w:r>
    </w:p>
    <w:p>
      <w:pPr>
        <w:widowControl w:val="0"/>
        <w:overflowPunct w:val="0"/>
        <w:adjustRightInd w:val="0"/>
        <w:snapToGrid w:val="0"/>
        <w:ind w:firstLine="640" w:firstLineChars="200"/>
        <w:rPr>
          <w:rFonts w:ascii="仿宋_GB2312" w:eastAsia="仿宋_GB2312"/>
          <w:sz w:val="32"/>
          <w:szCs w:val="32"/>
        </w:rPr>
      </w:pPr>
    </w:p>
    <w:p>
      <w:pPr>
        <w:widowControl w:val="0"/>
        <w:overflowPunct w:val="0"/>
        <w:adjustRightInd w:val="0"/>
        <w:snapToGrid w:val="0"/>
        <w:rPr>
          <w:rFonts w:ascii="仿宋_GB2312" w:eastAsia="仿宋_GB2312"/>
          <w:sz w:val="32"/>
          <w:szCs w:val="32"/>
        </w:rPr>
      </w:pPr>
      <w:r>
        <w:rPr>
          <w:rFonts w:hint="eastAsia" w:ascii="仿宋_GB2312" w:eastAsia="仿宋_GB2312"/>
          <w:sz w:val="32"/>
          <w:szCs w:val="32"/>
        </w:rPr>
        <w:t>各区（市）安委会，枣庄高新区安委会，市安委会有关成员单位：</w:t>
      </w:r>
    </w:p>
    <w:p>
      <w:pPr>
        <w:widowControl w:val="0"/>
        <w:overflowPunct w:val="0"/>
        <w:adjustRightInd w:val="0"/>
        <w:snapToGrid w:val="0"/>
        <w:ind w:firstLine="640" w:firstLineChars="200"/>
        <w:rPr>
          <w:rFonts w:ascii="仿宋_GB2312" w:eastAsia="仿宋_GB2312"/>
          <w:sz w:val="32"/>
          <w:szCs w:val="32"/>
        </w:rPr>
      </w:pPr>
      <w:r>
        <w:rPr>
          <w:rFonts w:hint="eastAsia" w:ascii="仿宋_GB2312" w:eastAsia="仿宋_GB2312"/>
          <w:sz w:val="32"/>
          <w:szCs w:val="32"/>
        </w:rPr>
        <w:t>取暖季将至，为切实做好防范一氧化碳中毒工作，确保人民群众生命安全，现就做好今冬明春防范一氧化碳中毒工作有关事项通知如下：</w:t>
      </w:r>
    </w:p>
    <w:p>
      <w:pPr>
        <w:widowControl w:val="0"/>
        <w:overflowPunct w:val="0"/>
        <w:adjustRightInd w:val="0"/>
        <w:snapToGrid w:val="0"/>
        <w:ind w:firstLine="640" w:firstLineChars="200"/>
        <w:rPr>
          <w:rFonts w:ascii="仿宋_GB2312" w:eastAsia="仿宋_GB2312"/>
          <w:sz w:val="32"/>
          <w:szCs w:val="32"/>
        </w:rPr>
      </w:pPr>
      <w:r>
        <w:rPr>
          <w:rFonts w:hint="eastAsia" w:ascii="黑体" w:hAnsi="黑体" w:eastAsia="黑体"/>
          <w:sz w:val="32"/>
          <w:szCs w:val="32"/>
        </w:rPr>
        <w:t>一、高度重视取暖季防范一氧化碳中毒工作</w:t>
      </w:r>
      <w:r>
        <w:rPr>
          <w:rFonts w:hint="eastAsia" w:ascii="仿宋_GB2312" w:eastAsia="仿宋_GB2312"/>
          <w:sz w:val="32"/>
          <w:szCs w:val="32"/>
        </w:rPr>
        <w:t>。各区（市）、各有关部门单位要进一步提高政治站位，坚持人民至上、生命至上，将防范一氧化碳中毒作为对人民群众生命健康高度负责的政治责任，采取有力措施抓紧抓实抓好。要将防范一氧化碳中毒作为当前和今冬明春的一项重要工作来抓，严格落实属地管理责任，尤其是落实镇街、村居（社区）的主体责任，明确工作重点，安排专人靠上抓，既抓治标、又抓治本，既严防死守、又常态长效，结合实际情况制定工作方案，下发防范通知，立足于防早、防小、防患于未然，全力打好今冬明春防范一氧化碳中毒攻坚战，坚决杜绝城乡群众一氧化碳中毒事件发生，确保群众安全温暖过冬。</w:t>
      </w:r>
    </w:p>
    <w:p>
      <w:pPr>
        <w:widowControl w:val="0"/>
        <w:overflowPunct w:val="0"/>
        <w:adjustRightInd w:val="0"/>
        <w:snapToGrid w:val="0"/>
        <w:ind w:firstLine="640" w:firstLineChars="200"/>
        <w:rPr>
          <w:rFonts w:ascii="仿宋_GB2312" w:eastAsia="仿宋_GB2312"/>
          <w:sz w:val="32"/>
          <w:szCs w:val="32"/>
        </w:rPr>
      </w:pPr>
      <w:r>
        <w:rPr>
          <w:rFonts w:hint="eastAsia" w:ascii="黑体" w:hAnsi="黑体" w:eastAsia="黑体"/>
          <w:sz w:val="32"/>
          <w:szCs w:val="32"/>
        </w:rPr>
        <w:t>二、深入开展防范一氧化碳中毒宣传教育</w:t>
      </w:r>
      <w:r>
        <w:rPr>
          <w:rFonts w:hint="eastAsia" w:ascii="仿宋_GB2312" w:eastAsia="仿宋_GB2312"/>
          <w:sz w:val="32"/>
          <w:szCs w:val="32"/>
        </w:rPr>
        <w:t>。各区（市）要针对本地实际，迅速组织相关部门制定具体详细、易于操作、一看就懂的居民防范一氧化碳中毒明白纸，并组织镇街、村居（社区）党员干部按照“镇不漏村、村不漏户”的要求逐户发放，让广大居民和职工群众熟知防范措施和应急常识，切实做好防范工作。各区（市）、各有关部门要通过电视、广播、报纸、网站等主流媒体和新媒体，制作播放一氧化碳中毒事故警示教育片、公益广告、动漫、音视频、图文、抖音等作品和预警、提示信息。要把“一隔离、二通风、三报警”（生火间与休息间隔离，房屋内保持良好通风，遇有不适或险情立即报警）作为宣传重点，普及防范一氧化碳中毒知识，开展警示宣传教育。要充分利用街道、社区、乡村的活动室、文化站、文化广场、宣传栏等场所，普及燃煤、用气、秸秆取暖、特别是自烤煤炉和煤气灶使用安全常识。要发挥基层干部、网格员、老党员、驻村人员、大学生村官、志愿者等群体的作用，深入到每村、每户、每个家庭宣传普及安全知识。</w:t>
      </w:r>
    </w:p>
    <w:p>
      <w:pPr>
        <w:widowControl w:val="0"/>
        <w:overflowPunct w:val="0"/>
        <w:adjustRightInd w:val="0"/>
        <w:snapToGrid w:val="0"/>
        <w:ind w:firstLine="640" w:firstLineChars="200"/>
        <w:rPr>
          <w:rFonts w:hint="eastAsia" w:ascii="仿宋_GB2312" w:eastAsia="仿宋_GB2312"/>
          <w:sz w:val="32"/>
          <w:szCs w:val="32"/>
        </w:rPr>
      </w:pPr>
      <w:r>
        <w:rPr>
          <w:rFonts w:hint="eastAsia" w:ascii="黑体" w:hAnsi="黑体" w:eastAsia="黑体"/>
          <w:sz w:val="32"/>
          <w:szCs w:val="32"/>
        </w:rPr>
        <w:t>三、全面排查整治一氧化碳中毒隐患</w:t>
      </w:r>
      <w:r>
        <w:rPr>
          <w:rFonts w:hint="eastAsia" w:ascii="仿宋_GB2312" w:eastAsia="仿宋_GB2312"/>
          <w:sz w:val="32"/>
          <w:szCs w:val="32"/>
        </w:rPr>
        <w:t>。各区（市）要进一步夯实基层防范一氧化碳中毒工作责任，实行联防联控、网格化管理，加大一氧化碳中毒隐患排查力度，对非集中供暖户开展登门入户、全覆盖式摸排。特别要重点排查非集中供暖的出租屋、拆迁房、城中村、城乡结合部、乡村鳏寡孤独等弱势群体家庭取暖户，以及学校、幼儿园、敬老院、宗教场所、娱乐室等人员聚集场所，以及室内烧烤等易产生一氧化碳中毒的经营性场所，发现隐患迅速整改。要发动群众防自家风险，查身边隐患，做防范一氧化碳中毒的明白人、践行者。同时，要大力推广清洁、安全取暖方式，推广安装性能可靠的一氧化碳报警仪。各区（市）要进一步制修订一氧化碳中毒应急救援预案，强化部门间协调联动和信息共享，做好人力、物力、财力保障，加强应急准备，确保一旦发现中毒事件立即处置，尽最大努力挽救群众生命。</w:t>
      </w:r>
    </w:p>
    <w:p>
      <w:pPr>
        <w:widowControl w:val="0"/>
        <w:overflowPunct w:val="0"/>
        <w:adjustRightInd w:val="0"/>
        <w:snapToGrid w:val="0"/>
        <w:ind w:firstLine="640" w:firstLineChars="200"/>
        <w:rPr>
          <w:rFonts w:ascii="仿宋_GB2312" w:eastAsia="仿宋_GB2312"/>
          <w:sz w:val="32"/>
          <w:szCs w:val="32"/>
        </w:rPr>
      </w:pPr>
      <w:r>
        <w:rPr>
          <w:rFonts w:hint="eastAsia" w:ascii="黑体" w:hAnsi="黑体" w:eastAsia="黑体"/>
          <w:sz w:val="32"/>
          <w:szCs w:val="32"/>
        </w:rPr>
        <w:t>四、形成防范一氧化碳中毒工作合力。</w:t>
      </w:r>
      <w:r>
        <w:rPr>
          <w:rFonts w:hint="eastAsia" w:ascii="仿宋_GB2312" w:eastAsia="仿宋_GB2312"/>
          <w:sz w:val="32"/>
          <w:szCs w:val="32"/>
        </w:rPr>
        <w:t>市、区（市）、镇街三级安委会办公室要加强调度、督导和通报，统筹协调指导相关责任单位抓好防范一氧化碳中毒工作。住建部门，要抓好城镇燃气安全，做好冬季集中供热工作，抓好“煤改气”施工安全和燃气用户安全隐患排查整治，做好建筑工地工人宿舍等易发一氧化碳中毒部位的隐患排查整改。卫生健康部门，要抓好一氧化碳中毒群众的救治和事件信息报告工作，并会同有关部门开展科普宣教工作。农业农村部门，要将防范一氧化碳中毒纳入美丽乡村建设和农村人居环境整治重要内容，扎实推进农村清洁取暖设施建设。宣传部门，要充分利用广播、电视、报纸、网络等媒体开展防范一氧化碳中毒科普宣传，加强网上信息发布的管理，正确引导社会舆论。各区（市）、各有关部门要立足实际，及时掌握工作进展情况，认真总结经验，创新性地做好工作。市安委会办公室将组织人员进村入户开展督导，检验工作开展成效，调度工作开展情况并进行通报。</w:t>
      </w:r>
    </w:p>
    <w:p>
      <w:pPr>
        <w:widowControl w:val="0"/>
        <w:overflowPunct w:val="0"/>
        <w:adjustRightInd w:val="0"/>
        <w:snapToGrid w:val="0"/>
        <w:ind w:firstLine="640" w:firstLineChars="200"/>
        <w:rPr>
          <w:rFonts w:ascii="仿宋_GB2312" w:eastAsia="仿宋_GB2312"/>
          <w:sz w:val="32"/>
          <w:szCs w:val="32"/>
        </w:rPr>
      </w:pPr>
    </w:p>
    <w:p>
      <w:pPr>
        <w:widowControl w:val="0"/>
        <w:overflowPunct w:val="0"/>
        <w:adjustRightInd w:val="0"/>
        <w:snapToGrid w:val="0"/>
        <w:ind w:firstLine="640" w:firstLineChars="200"/>
        <w:rPr>
          <w:rFonts w:ascii="仿宋_GB2312" w:eastAsia="仿宋_GB2312"/>
          <w:sz w:val="32"/>
          <w:szCs w:val="32"/>
        </w:rPr>
      </w:pPr>
    </w:p>
    <w:p>
      <w:pPr>
        <w:widowControl w:val="0"/>
        <w:overflowPunct w:val="0"/>
        <w:adjustRightInd w:val="0"/>
        <w:snapToGrid w:val="0"/>
        <w:ind w:firstLine="640" w:firstLineChars="200"/>
        <w:rPr>
          <w:rFonts w:ascii="仿宋_GB2312" w:eastAsia="仿宋_GB2312"/>
          <w:sz w:val="32"/>
          <w:szCs w:val="32"/>
        </w:rPr>
      </w:pPr>
      <w:r>
        <w:rPr>
          <w:rFonts w:hint="eastAsia" w:ascii="仿宋_GB2312" w:eastAsia="仿宋_GB2312"/>
          <w:sz w:val="32"/>
          <w:szCs w:val="32"/>
        </w:rPr>
        <w:t xml:space="preserve">                    枣庄市安</w:t>
      </w:r>
      <w:bookmarkStart w:id="0" w:name="_GoBack"/>
      <w:bookmarkEnd w:id="0"/>
      <w:r>
        <w:rPr>
          <w:rFonts w:hint="eastAsia" w:ascii="仿宋_GB2312" w:eastAsia="仿宋_GB2312"/>
          <w:sz w:val="32"/>
          <w:szCs w:val="32"/>
        </w:rPr>
        <w:t>全生产委员会办公室</w:t>
      </w:r>
    </w:p>
    <w:p>
      <w:pPr>
        <w:widowControl w:val="0"/>
        <w:overflowPunct w:val="0"/>
        <w:adjustRightInd w:val="0"/>
        <w:snapToGrid w:val="0"/>
        <w:ind w:firstLine="640" w:firstLineChars="200"/>
        <w:rPr>
          <w:rFonts w:ascii="仿宋_GB2312" w:eastAsia="仿宋_GB2312"/>
          <w:sz w:val="32"/>
          <w:szCs w:val="32"/>
        </w:rPr>
        <w:sectPr>
          <w:footerReference r:id="rId5" w:type="default"/>
          <w:pgSz w:w="11906" w:h="16838"/>
          <w:pgMar w:top="1985" w:right="1588" w:bottom="1985" w:left="1588" w:header="851" w:footer="992" w:gutter="0"/>
          <w:cols w:space="425" w:num="1"/>
          <w:docGrid w:type="lines" w:linePitch="312" w:charSpace="0"/>
        </w:sectPr>
      </w:pPr>
      <w:r>
        <w:rPr>
          <w:rFonts w:hint="eastAsia" w:ascii="仿宋_GB2312" w:eastAsia="仿宋_GB2312"/>
          <w:sz w:val="32"/>
          <w:szCs w:val="32"/>
        </w:rPr>
        <w:t xml:space="preserve">                         2021年11月8日</w:t>
      </w: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p>
      <w:pPr>
        <w:widowControl w:val="0"/>
        <w:overflowPunct w:val="0"/>
        <w:adjustRightInd w:val="0"/>
        <w:snapToGrid w:val="0"/>
        <w:spacing w:line="540" w:lineRule="atLeast"/>
        <w:rPr>
          <w:rFonts w:ascii="仿宋_GB2312" w:eastAsia="仿宋_GB2312"/>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left w:val="nil"/>
              <w:right w:val="nil"/>
            </w:tcBorders>
          </w:tcPr>
          <w:p>
            <w:pPr>
              <w:widowControl w:val="0"/>
              <w:overflowPunct w:val="0"/>
              <w:adjustRightInd w:val="0"/>
              <w:snapToGrid w:val="0"/>
              <w:spacing w:line="540" w:lineRule="atLeast"/>
              <w:jc w:val="left"/>
              <w:rPr>
                <w:rFonts w:ascii="仿宋_GB2312" w:eastAsia="仿宋_GB2312"/>
                <w:kern w:val="0"/>
                <w:sz w:val="32"/>
                <w:szCs w:val="32"/>
              </w:rPr>
            </w:pPr>
            <w:r>
              <w:rPr>
                <w:rFonts w:hint="eastAsia" w:ascii="仿宋_GB2312" w:eastAsia="仿宋_GB2312"/>
                <w:kern w:val="0"/>
                <w:sz w:val="32"/>
                <w:szCs w:val="32"/>
              </w:rPr>
              <w:t>抄报：孙起生常务副市长，邵士官副市长，丁伟副秘书长</w:t>
            </w:r>
          </w:p>
        </w:tc>
      </w:tr>
    </w:tbl>
    <w:p>
      <w:pPr>
        <w:ind w:firstLine="420"/>
      </w:pPr>
    </w:p>
    <w:sectPr>
      <w:pgSz w:w="11906" w:h="16838"/>
      <w:pgMar w:top="1985" w:right="1588" w:bottom="1985" w:left="1588" w:header="851" w:footer="992" w:gutter="0"/>
      <w:cols w:space="425" w:num="1"/>
      <w:docGrid w:type="lines" w:linePitch="312" w:charSpace="-429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913664"/>
      <w:docPartObj>
        <w:docPartGallery w:val="autotext"/>
      </w:docPartObj>
    </w:sdtPr>
    <w:sdtEndPr>
      <w:rPr>
        <w:sz w:val="28"/>
        <w:szCs w:val="28"/>
      </w:rPr>
    </w:sdtEndPr>
    <w:sdtContent>
      <w:p>
        <w:pPr>
          <w:pStyle w:val="4"/>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rFonts w:hint="eastAsia"/>
            <w:sz w:val="28"/>
            <w:szCs w:val="28"/>
          </w:rPr>
          <w:t xml:space="preserve"> —</w:t>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1F"/>
    <w:rsid w:val="00002225"/>
    <w:rsid w:val="0003315B"/>
    <w:rsid w:val="0005628A"/>
    <w:rsid w:val="00216F97"/>
    <w:rsid w:val="002507FF"/>
    <w:rsid w:val="002C2CFA"/>
    <w:rsid w:val="002E1BC0"/>
    <w:rsid w:val="00392087"/>
    <w:rsid w:val="003C2A88"/>
    <w:rsid w:val="004B5748"/>
    <w:rsid w:val="00550BCF"/>
    <w:rsid w:val="005D3F6B"/>
    <w:rsid w:val="0065156C"/>
    <w:rsid w:val="006740EB"/>
    <w:rsid w:val="006D5C4C"/>
    <w:rsid w:val="007037F5"/>
    <w:rsid w:val="007B7666"/>
    <w:rsid w:val="00814E28"/>
    <w:rsid w:val="009B4BCE"/>
    <w:rsid w:val="00A244FF"/>
    <w:rsid w:val="00A34E44"/>
    <w:rsid w:val="00B14048"/>
    <w:rsid w:val="00BA75DC"/>
    <w:rsid w:val="00BE2860"/>
    <w:rsid w:val="00E22887"/>
    <w:rsid w:val="00EE571F"/>
    <w:rsid w:val="00EF4559"/>
    <w:rsid w:val="00F94268"/>
    <w:rsid w:val="00FA650D"/>
    <w:rsid w:val="3A4A3081"/>
    <w:rsid w:val="4E605B2D"/>
    <w:rsid w:val="6E05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widowControl w:val="0"/>
      <w:spacing w:before="38" w:line="240" w:lineRule="auto"/>
      <w:ind w:left="106" w:firstLine="640"/>
      <w:jc w:val="left"/>
    </w:pPr>
    <w:rPr>
      <w:rFonts w:ascii="仿宋_GB2312" w:hAnsi="仿宋_GB2312" w:eastAsia="仿宋_GB2312" w:cstheme="minorBidi"/>
      <w:kern w:val="0"/>
      <w:sz w:val="32"/>
      <w:szCs w:val="32"/>
      <w:lang w:eastAsia="en-US"/>
    </w:rPr>
  </w:style>
  <w:style w:type="paragraph" w:styleId="3">
    <w:name w:val="Date"/>
    <w:basedOn w:val="1"/>
    <w:next w:val="1"/>
    <w:link w:val="9"/>
    <w:semiHidden/>
    <w:unhideWhenUsed/>
    <w:uiPriority w:val="99"/>
    <w:pPr>
      <w:ind w:left="100" w:leftChars="2500"/>
    </w:pPr>
  </w:style>
  <w:style w:type="paragraph" w:styleId="4">
    <w:name w:val="footer"/>
    <w:basedOn w:val="1"/>
    <w:link w:val="12"/>
    <w:unhideWhenUsed/>
    <w:uiPriority w:val="99"/>
    <w:pPr>
      <w:tabs>
        <w:tab w:val="center" w:pos="4153"/>
        <w:tab w:val="right" w:pos="8306"/>
      </w:tabs>
      <w:snapToGrid w:val="0"/>
      <w:spacing w:line="240" w:lineRule="atLeast"/>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uiPriority w:val="59"/>
    <w:pPr>
      <w:spacing w:line="240" w:lineRule="auto"/>
      <w:jc w:val="left"/>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basedOn w:val="8"/>
    <w:link w:val="3"/>
    <w:semiHidden/>
    <w:qFormat/>
    <w:uiPriority w:val="99"/>
    <w:rPr>
      <w:rFonts w:ascii="Calibri" w:hAnsi="Calibri" w:eastAsia="宋体" w:cs="Times New Roman"/>
      <w:szCs w:val="24"/>
    </w:rPr>
  </w:style>
  <w:style w:type="character" w:customStyle="1" w:styleId="10">
    <w:name w:val="正文文本 Char"/>
    <w:basedOn w:val="8"/>
    <w:link w:val="2"/>
    <w:qFormat/>
    <w:uiPriority w:val="1"/>
    <w:rPr>
      <w:rFonts w:ascii="仿宋_GB2312" w:hAnsi="仿宋_GB2312" w:eastAsia="仿宋_GB2312"/>
      <w:kern w:val="0"/>
      <w:sz w:val="32"/>
      <w:szCs w:val="32"/>
      <w:lang w:eastAsia="en-US"/>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261</Words>
  <Characters>1490</Characters>
  <Lines>12</Lines>
  <Paragraphs>3</Paragraphs>
  <TotalTime>60</TotalTime>
  <ScaleCrop>false</ScaleCrop>
  <LinksUpToDate>false</LinksUpToDate>
  <CharactersWithSpaces>1748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2021-11-07T12:20:00Z</dcterms:created>
  <dc:creator>lv</dc:creator>
  <cp:lastModifiedBy>lulu</cp:lastModifiedBy>
  <cp:lastPrinted>2021-11-09T11:30:55Z</cp:lastPrinted>
  <dcterms:modified xsi:type="dcterms:W3CDTF">2021-11-09T11:31:00Z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340550F72BB24254BB2061BDF6898E1F</vt:lpwstr>
  </property>
</Properties>
</file>